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2E" w:rsidRDefault="00C77CCB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36072E" w:rsidRDefault="00C77CCB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36072E" w:rsidRDefault="00C77CCB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06-2/372-14                                                     </w:t>
      </w:r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novembar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36072E" w:rsidRDefault="00C77CCB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6072E" w:rsidRDefault="0036072E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C77CCB" w:rsidP="0036072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36072E" w:rsidRDefault="0036072E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36072E" w:rsidRDefault="00C77CCB" w:rsidP="0036072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12,00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C77CCB" w:rsidP="0036072E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Pr="00B0042B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Ninoslav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Girić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Mileta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Poskurica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Radojević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Milena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Ćorilić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Nevena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Stojanović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Pr="00B0042B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odsutnih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Peranović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Marjana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Maraš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Latković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072E" w:rsidRPr="00956FF2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Jović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Elvira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Kosorić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Miljana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Beronja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Mirjana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Dragaš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Pr="00566DAA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6072E"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6072E"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prisustvovli</w:t>
      </w:r>
      <w:r w:rsidR="0036072E"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36072E"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6072E"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36072E"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36072E"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36072E" w:rsidRPr="00193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36072E" w:rsidRPr="00CE07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Berislav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Vekić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Vinka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Kojadinović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Nebojša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Jokić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viši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savetnici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stom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Vlahović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izvršni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072E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predsednice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072E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6072E" w:rsidRDefault="0036072E" w:rsidP="00360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72E" w:rsidRPr="00C770F4" w:rsidRDefault="00C77CCB" w:rsidP="00360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pojedinostima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72E" w:rsidRPr="00956FF2" w:rsidRDefault="00C77CCB" w:rsidP="00360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36072E"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36072E"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6072E"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6072E"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zdravstvenoj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dokumentaciji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evidencijama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pojedinostima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72E" w:rsidRPr="0085683F" w:rsidRDefault="00C77CCB" w:rsidP="003607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r w:rsidR="0036072E"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2E" w:rsidRDefault="0036072E" w:rsidP="0036072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Predloga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zakona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izmenama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Zakona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zdravstvenom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osiguranju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podnela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Vlada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8568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pojedinostima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Slavica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Đukić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obavestila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podneto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četiri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amandmana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zdravstvenom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osiguranju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prihvatila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otvorila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pretres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pojedinostima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Blagoje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Bradić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obrazložio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amandman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0D7C7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0D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C112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predlaže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Upravni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RFZO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devet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imenuje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razrešava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kojih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biraju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ostali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određene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kategorije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osiguranika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2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ovim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amandmanom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osim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finansijske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uštede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lastRenderedPageBreak/>
        <w:t>obezbedilo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veće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učešće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struke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učešće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najbrojnijih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kategorija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osiguranika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uzima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prevagu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odlučivanju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načinu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trošenja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odnosu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predstavnike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osiguranika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budžet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Fonda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promeni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namenu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budžetu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CE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Berislav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Vekić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izmenama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zdravstvenom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osiguranju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Upravnog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RFZO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6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smanjuje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sedam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ocenio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maksimalno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racionalan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predstavnik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osiguranika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predstavlja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zaposlene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obavljaju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samostalnu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delatnost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Dodao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osiguranika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penzionera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poljoprivrednika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obuhvatju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između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85%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cilju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adekvatnog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sprovođenja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zdravstvene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politike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neophodno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uključiti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predstavnike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Upravni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fonda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6072E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Izvršni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Vlahović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osnovni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zadatak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raniji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neusklađenosti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akata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donosi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znatno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produžavalo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donošenja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072E" w:rsidRPr="00744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nudi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efikasniji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C77CCB" w:rsidP="0036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osiguranika</w:t>
      </w:r>
      <w:r w:rsidR="0036072E" w:rsidRPr="00E93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Upravnom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manjinu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nemaju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odlučujući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verovatnoća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centralizovanog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odlučivanja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C77CCB" w:rsidP="0036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 w:rsidRPr="00D43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Radojević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osvrnuo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dosadašnju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Upravnog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loše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funkcionisao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njegovih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smanjuje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sedam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napomenu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sređivanju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radili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savesno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Ističe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 w:rsidRPr="00136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briga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pacijentu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njvažnija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činilaca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kreiraju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prikuplja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moaraju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pravedno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raspoređena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pacijenata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kruga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planera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C77CCB" w:rsidP="0036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Ninoslav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licitirati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brojem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Upravnog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obezbediti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adekvatne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jedinstvenu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voditi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destrukcija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niz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osiguranju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dovesti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pravih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C77CCB" w:rsidP="0036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slaganje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stavom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kontroliše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odraz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raspoređivanjem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svojih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36072E" w:rsidP="0036072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36072E" w:rsidRPr="00DC2051" w:rsidRDefault="0036072E" w:rsidP="0036072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Odbor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skladu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sa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članom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164.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stav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1.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Poslovnika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skupštine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razmotrio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amandmane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narodnih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poslanika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podnete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79395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7939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793958">
        <w:rPr>
          <w:rFonts w:ascii="Times New Roman" w:hAnsi="Times New Roman"/>
          <w:bCs/>
          <w:sz w:val="24"/>
          <w:szCs w:val="24"/>
        </w:rPr>
        <w:t>o</w:t>
      </w:r>
      <w:r w:rsidRPr="007939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79395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sr-Cyrl-CS"/>
        </w:rPr>
        <w:t>zdravstvenom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sr-Cyrl-CS"/>
        </w:rPr>
        <w:t>osiguranju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odlučio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predloži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Narodnoj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da</w:t>
      </w:r>
      <w:r w:rsidRPr="0036072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odbije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sledeće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amandmane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</w:t>
      </w: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1.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su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zajedno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podneli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Borislav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Stefanović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Jovana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Jovanović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1.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su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zajedno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podneli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Blagoje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Bradić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Marko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Đurišić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Janko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Veselinović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Biljana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Hasanović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Korać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Branka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Karavidić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11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1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nije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glasao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2.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su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zajedno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podneli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Borislav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Stefanović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Jovana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Jovanović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( 1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lastRenderedPageBreak/>
        <w:t>-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2.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su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zajedno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podneli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Blagoje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Bradić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Marko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Đurišić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Janko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Veselinović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Biljana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Hasanović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Korać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Branka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Karavidić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( 1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10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, 2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nije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glasalo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hAnsi="Times New Roman"/>
          <w:bCs/>
          <w:sz w:val="24"/>
          <w:szCs w:val="24"/>
          <w:lang w:val="ru-RU"/>
        </w:rPr>
        <w:t>).</w:t>
      </w:r>
    </w:p>
    <w:p w:rsidR="0036072E" w:rsidRPr="0036072E" w:rsidRDefault="0036072E" w:rsidP="0036072E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izvestioca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sednici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određena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prof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dr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Slavica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Đukić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Dejanović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predsednik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                </w:t>
      </w:r>
    </w:p>
    <w:p w:rsidR="0036072E" w:rsidRPr="0036072E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Druga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dnevnog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Razmatranje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Predloga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zakona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zdravstvenoj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dokumentaciji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evidencijama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u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oblasti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zdravstva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koji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je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podnela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Vlada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u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pojedinostima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</w:p>
    <w:p w:rsidR="0036072E" w:rsidRPr="0036072E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prof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Slavica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Đukić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Dejanović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obavestila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prisutne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podneto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amandmana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072E" w:rsidRPr="0085683F">
        <w:rPr>
          <w:rFonts w:ascii="Times New Roman" w:eastAsia="Times New Roman" w:hAnsi="Times New Roman" w:cs="Times New Roman"/>
          <w:sz w:val="24"/>
          <w:szCs w:val="24"/>
        </w:rPr>
        <w:t>o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zdravstvenoj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dokumentaciji</w:t>
      </w:r>
      <w:r w:rsidR="0036072E" w:rsidRPr="003607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evidencijama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oblasti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zdravstva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Vlada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prihvatila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četiri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amandmana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zatim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otvorila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pretres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pojedinostima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6072E" w:rsidRPr="0036072E" w:rsidRDefault="00C77CCB" w:rsidP="003607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Dušan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Milisavljević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stanje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zdravstvu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ocenio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veoma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teško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istakao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prethodnom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periodu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težio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bude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iznad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politike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donosio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svega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interesu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stanovništva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S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tim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vezi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izrazio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nadu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tako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budućnosti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Zahvalio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razumevanju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Ministarstvu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zdravlja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zbog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prihvatanja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njegovih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amandmana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smatra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treba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raditi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donositi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cilju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poboljšanja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zdravstvenog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sistema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072E" w:rsidRPr="0036072E" w:rsidRDefault="0036072E" w:rsidP="003607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72E" w:rsidRPr="00575624" w:rsidRDefault="0036072E" w:rsidP="0036072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 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u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skladu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sa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članom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164.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stav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Poslovnika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Narodne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skupštine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razmotrio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amandmane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poslanika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podnete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Predlog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zakona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244F6B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zdravstvenoj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dokumentaciji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i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evidencijama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u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oblasti</w:t>
      </w:r>
      <w:r w:rsidRPr="00244F6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zdravstva</w:t>
      </w:r>
      <w:r w:rsidRPr="0057562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odlučio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predloži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Narodnoj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</w:t>
      </w:r>
    </w:p>
    <w:p w:rsidR="0036072E" w:rsidRPr="00B05DEE" w:rsidRDefault="0036072E" w:rsidP="0036072E">
      <w:pPr>
        <w:tabs>
          <w:tab w:val="left" w:pos="1440"/>
        </w:tabs>
        <w:spacing w:after="8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odlučio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predloži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Narodnoj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da</w:t>
      </w:r>
      <w:r w:rsidRPr="0036072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prihvati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sledeće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amandmane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17.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18.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19.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22.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nijhe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glasao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).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odlučio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predloži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Narodnoj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da</w:t>
      </w:r>
      <w:r w:rsidRPr="0036072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odbije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sledeće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amandmane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3.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su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zajedno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podneli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Petrić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Borislav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Stefanović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15.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17.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su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zajedno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podneli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Petrić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Borislav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Stefanović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25.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30.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33.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);</w:t>
      </w:r>
    </w:p>
    <w:p w:rsidR="0036072E" w:rsidRPr="0036072E" w:rsidRDefault="0036072E" w:rsidP="0036072E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-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39.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Dušan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Milisavljević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(1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12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glasova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protiv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13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prisutnih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).</w:t>
      </w:r>
    </w:p>
    <w:p w:rsidR="0036072E" w:rsidRPr="0036072E" w:rsidRDefault="0036072E" w:rsidP="0036072E">
      <w:pPr>
        <w:tabs>
          <w:tab w:val="left" w:pos="373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6072E" w:rsidRPr="0036072E" w:rsidRDefault="0036072E" w:rsidP="0036072E">
      <w:pPr>
        <w:tabs>
          <w:tab w:val="left" w:pos="1485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izvestioca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sednici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određena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prof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dr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Slavica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Đukić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Dejanović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predsednik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                </w:t>
      </w:r>
    </w:p>
    <w:p w:rsidR="0036072E" w:rsidRPr="0036072E" w:rsidRDefault="0036072E" w:rsidP="0036072E">
      <w:pPr>
        <w:tabs>
          <w:tab w:val="left" w:pos="1440"/>
        </w:tabs>
        <w:spacing w:after="8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      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</w:p>
    <w:p w:rsidR="0036072E" w:rsidRPr="0036072E" w:rsidRDefault="0036072E" w:rsidP="0036072E">
      <w:pPr>
        <w:tabs>
          <w:tab w:val="left" w:pos="1440"/>
        </w:tabs>
        <w:spacing w:after="8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u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skladu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članom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157.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stav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6.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Poslovnika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podneo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amandman</w:t>
      </w:r>
      <w:r w:rsidRPr="00091D85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25.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33.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Predloga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zakona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koji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glase</w:t>
      </w: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: </w:t>
      </w:r>
    </w:p>
    <w:p w:rsidR="0036072E" w:rsidRPr="0036072E" w:rsidRDefault="0036072E" w:rsidP="0036072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72E" w:rsidRPr="0036072E" w:rsidRDefault="00C77CCB" w:rsidP="0036072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(''</w:t>
      </w:r>
      <w:r>
        <w:rPr>
          <w:rFonts w:ascii="Times New Roman" w:hAnsi="Times New Roman" w:cs="Times New Roman"/>
          <w:sz w:val="24"/>
          <w:szCs w:val="24"/>
          <w:lang w:val="ru-RU"/>
        </w:rPr>
        <w:t>Službeni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glasnik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RS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20/12-</w:t>
      </w:r>
      <w:r>
        <w:rPr>
          <w:rFonts w:ascii="Times New Roman" w:hAnsi="Times New Roman" w:cs="Times New Roman"/>
          <w:sz w:val="24"/>
          <w:szCs w:val="24"/>
          <w:lang w:val="ru-RU"/>
        </w:rPr>
        <w:t>prečišćen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tekst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zdravlje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porodice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podnosi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zdravstvenoj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dokumentaciji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evidencijama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zdravstva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amandman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6072E" w:rsidRPr="0036072E" w:rsidRDefault="00C77CCB" w:rsidP="0036072E">
      <w:pPr>
        <w:tabs>
          <w:tab w:val="left" w:pos="395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AMANDMAN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6072E">
        <w:rPr>
          <w:rFonts w:ascii="Times New Roman" w:hAnsi="Times New Roman" w:cs="Times New Roman"/>
          <w:sz w:val="24"/>
          <w:szCs w:val="24"/>
        </w:rPr>
        <w:t>I</w:t>
      </w:r>
    </w:p>
    <w:p w:rsidR="0036072E" w:rsidRPr="0036072E" w:rsidRDefault="0036072E" w:rsidP="0036072E">
      <w:pPr>
        <w:tabs>
          <w:tab w:val="left" w:pos="91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Predlogu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zdravstvenoj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dokumentaciji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evidencijama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zdravstva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članu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25.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tačka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4)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posle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reči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>: ''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stacionarnom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lečenju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''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dodaju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reči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: ''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dnevnoj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hAnsi="Times New Roman" w:cs="Times New Roman"/>
          <w:sz w:val="24"/>
          <w:szCs w:val="24"/>
          <w:lang w:val="ru-RU"/>
        </w:rPr>
        <w:t>bolnici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>''.</w:t>
      </w:r>
      <w:r w:rsidRPr="0036072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6072E" w:rsidRPr="0036072E" w:rsidRDefault="00C77CCB" w:rsidP="0036072E">
      <w:pPr>
        <w:tabs>
          <w:tab w:val="left" w:pos="39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</w:p>
    <w:p w:rsidR="0036072E" w:rsidRPr="0036072E" w:rsidRDefault="00C77CCB" w:rsidP="0036072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Amandman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podnosi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razloga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usaglašavanja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drugim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odredbama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amandmanima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prihvaćenim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strane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predlagača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obzirom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ulogu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značaj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dnevnih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bolnica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procesu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dijagnostike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lečenja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brojnih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oboljenja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6072E"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36072E"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36072E"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36072E" w:rsidRPr="00091D8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</w:t>
      </w:r>
      <w:r w:rsidR="003607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6072E" w:rsidRPr="0036072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36072E" w:rsidRPr="0036072E" w:rsidRDefault="00C77CCB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AMANDMAN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6072E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36072E" w:rsidRP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072E" w:rsidRP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Predlogu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zdravstvenoj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dokumentaciji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evidencijama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oblasti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zdravstva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članu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33.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reč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>: „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izveštajima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“,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zamenjuje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rečima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>: „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obrascima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iz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stava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ovog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>“.</w:t>
      </w:r>
    </w:p>
    <w:p w:rsidR="0036072E" w:rsidRP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36072E" w:rsidRPr="0036072E" w:rsidRDefault="00C77CCB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ž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nj</w:t>
      </w:r>
      <w:r w:rsidR="0036072E"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</w:p>
    <w:p w:rsidR="0036072E" w:rsidRPr="0036072E" w:rsidRDefault="0036072E" w:rsidP="00360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072E" w:rsidRP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Amandman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podnosi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iz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razloga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pravno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tehničke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redakcije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teksta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obzirom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odredba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stava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ovog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odnosi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obrasce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propisani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odredbama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33.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ovog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zbog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čega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reč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„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izveštajima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“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zamenjuje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rečju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„ </w:t>
      </w:r>
      <w:r w:rsidR="00C77CCB">
        <w:rPr>
          <w:rFonts w:ascii="Times New Roman" w:eastAsia="Times New Roman" w:hAnsi="Times New Roman" w:cs="Times New Roman"/>
          <w:sz w:val="24"/>
          <w:szCs w:val="24"/>
          <w:lang w:val="ru-RU"/>
        </w:rPr>
        <w:t>obrascima</w:t>
      </w:r>
      <w:r w:rsidRPr="0036072E">
        <w:rPr>
          <w:rFonts w:ascii="Times New Roman" w:eastAsia="Times New Roman" w:hAnsi="Times New Roman" w:cs="Times New Roman"/>
          <w:sz w:val="24"/>
          <w:szCs w:val="24"/>
          <w:lang w:val="ru-RU"/>
        </w:rPr>
        <w:t>“.</w:t>
      </w:r>
    </w:p>
    <w:p w:rsidR="0036072E" w:rsidRPr="0036072E" w:rsidRDefault="0036072E" w:rsidP="0036072E">
      <w:pPr>
        <w:tabs>
          <w:tab w:val="left" w:pos="1019"/>
        </w:tabs>
        <w:spacing w:after="8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6072E" w:rsidRPr="00091D85" w:rsidRDefault="0036072E" w:rsidP="0036072E">
      <w:pPr>
        <w:tabs>
          <w:tab w:val="left" w:pos="1019"/>
        </w:tabs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72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izvestioca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Odbora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sednici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Narodne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skupštine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određena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je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prof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dr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Slavica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Đukić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Dejanović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predsednik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C77CC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Odbora</w:t>
      </w:r>
      <w:r w:rsidRPr="00091D8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             </w:t>
      </w:r>
      <w:r w:rsidRPr="00091D85">
        <w:rPr>
          <w:rFonts w:ascii="Times New Roman" w:eastAsia="Calibri" w:hAnsi="Times New Roman" w:cs="Times New Roman"/>
          <w:sz w:val="24"/>
          <w:szCs w:val="24"/>
          <w:lang w:val="sr-Latn-CS"/>
        </w:rPr>
        <w:tab/>
        <w:t xml:space="preserve">                                               </w:t>
      </w:r>
      <w:r w:rsidRPr="00091D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  <w:r w:rsidRPr="00091D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36072E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Treća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77CCB">
        <w:rPr>
          <w:rFonts w:ascii="Times New Roman" w:eastAsia="Times New Roman" w:hAnsi="Times New Roman" w:cs="Times New Roman"/>
          <w:b/>
          <w:sz w:val="24"/>
          <w:szCs w:val="24"/>
        </w:rPr>
        <w:t>Razno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072E" w:rsidRPr="00847F9F" w:rsidRDefault="0036072E" w:rsidP="003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72E" w:rsidRDefault="00C77CCB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tačke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36072E" w:rsidRPr="00956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Pr="002C06D0" w:rsidRDefault="0036072E" w:rsidP="00360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Pr="00956FF2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CCB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956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72E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72E" w:rsidRPr="000D7C7A" w:rsidRDefault="0036072E" w:rsidP="0036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72E" w:rsidRPr="00956FF2" w:rsidRDefault="0036072E" w:rsidP="0036072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F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36072E" w:rsidRDefault="0036072E" w:rsidP="0036072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6FF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C77CCB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6072E" w:rsidRDefault="0036072E" w:rsidP="0036072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072E" w:rsidRDefault="0036072E" w:rsidP="0036072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77CCB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 w:rsidR="00C77CCB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77CCB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77CCB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36072E" w:rsidRDefault="0036072E" w:rsidP="0036072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072E" w:rsidRPr="00956FF2" w:rsidRDefault="0036072E" w:rsidP="0036072E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072E" w:rsidRPr="00956FF2" w:rsidRDefault="0036072E" w:rsidP="0036072E">
      <w:pPr>
        <w:rPr>
          <w:lang w:val="sr-Cyrl-CS"/>
        </w:rPr>
      </w:pPr>
    </w:p>
    <w:p w:rsidR="00031CD2" w:rsidRPr="0036072E" w:rsidRDefault="00031CD2">
      <w:pPr>
        <w:rPr>
          <w:lang w:val="sr-Cyrl-CS"/>
        </w:rPr>
      </w:pPr>
    </w:p>
    <w:sectPr w:rsidR="00031CD2" w:rsidRPr="0036072E" w:rsidSect="00926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4C" w:rsidRDefault="00D43E4C">
      <w:pPr>
        <w:spacing w:after="0" w:line="240" w:lineRule="auto"/>
      </w:pPr>
      <w:r>
        <w:separator/>
      </w:r>
    </w:p>
  </w:endnote>
  <w:endnote w:type="continuationSeparator" w:id="0">
    <w:p w:rsidR="00D43E4C" w:rsidRDefault="00D4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D43E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D43E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D43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4C" w:rsidRDefault="00D43E4C">
      <w:pPr>
        <w:spacing w:after="0" w:line="240" w:lineRule="auto"/>
      </w:pPr>
      <w:r>
        <w:separator/>
      </w:r>
    </w:p>
  </w:footnote>
  <w:footnote w:type="continuationSeparator" w:id="0">
    <w:p w:rsidR="00D43E4C" w:rsidRDefault="00D4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D43E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60C5" w:rsidRDefault="000B4D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C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60C5" w:rsidRDefault="00D43E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D43E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1582"/>
    <w:multiLevelType w:val="hybridMultilevel"/>
    <w:tmpl w:val="F58E0A5C"/>
    <w:lvl w:ilvl="0" w:tplc="DA36DF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B5CE22AA">
      <w:start w:val="1"/>
      <w:numFmt w:val="lowerLetter"/>
      <w:lvlText w:val="%2."/>
      <w:lvlJc w:val="left"/>
      <w:pPr>
        <w:ind w:left="1800" w:hanging="360"/>
      </w:pPr>
    </w:lvl>
    <w:lvl w:ilvl="2" w:tplc="2AE27294">
      <w:start w:val="1"/>
      <w:numFmt w:val="lowerRoman"/>
      <w:lvlText w:val="%3."/>
      <w:lvlJc w:val="right"/>
      <w:pPr>
        <w:ind w:left="2520" w:hanging="180"/>
      </w:pPr>
    </w:lvl>
    <w:lvl w:ilvl="3" w:tplc="32ECF940">
      <w:start w:val="1"/>
      <w:numFmt w:val="decimal"/>
      <w:lvlText w:val="%4."/>
      <w:lvlJc w:val="left"/>
      <w:pPr>
        <w:ind w:left="3240" w:hanging="360"/>
      </w:pPr>
    </w:lvl>
    <w:lvl w:ilvl="4" w:tplc="ADE48696">
      <w:start w:val="1"/>
      <w:numFmt w:val="lowerLetter"/>
      <w:lvlText w:val="%5."/>
      <w:lvlJc w:val="left"/>
      <w:pPr>
        <w:ind w:left="3960" w:hanging="360"/>
      </w:pPr>
    </w:lvl>
    <w:lvl w:ilvl="5" w:tplc="B9C2F802">
      <w:start w:val="1"/>
      <w:numFmt w:val="lowerRoman"/>
      <w:lvlText w:val="%6."/>
      <w:lvlJc w:val="right"/>
      <w:pPr>
        <w:ind w:left="4680" w:hanging="180"/>
      </w:pPr>
    </w:lvl>
    <w:lvl w:ilvl="6" w:tplc="01F6948A">
      <w:start w:val="1"/>
      <w:numFmt w:val="decimal"/>
      <w:lvlText w:val="%7."/>
      <w:lvlJc w:val="left"/>
      <w:pPr>
        <w:ind w:left="5400" w:hanging="360"/>
      </w:pPr>
    </w:lvl>
    <w:lvl w:ilvl="7" w:tplc="E68AD542">
      <w:start w:val="1"/>
      <w:numFmt w:val="lowerLetter"/>
      <w:lvlText w:val="%8."/>
      <w:lvlJc w:val="left"/>
      <w:pPr>
        <w:ind w:left="6120" w:hanging="360"/>
      </w:pPr>
    </w:lvl>
    <w:lvl w:ilvl="8" w:tplc="DA626C6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3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B4D80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072E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07431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77CCB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3E4C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45C7D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2E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72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2E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72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2015-07-07T11:34:00Z</dcterms:created>
  <dcterms:modified xsi:type="dcterms:W3CDTF">2015-07-07T11:34:00Z</dcterms:modified>
</cp:coreProperties>
</file>